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273E" w14:textId="681F4D73" w:rsidR="0046305B" w:rsidRPr="00106B45" w:rsidRDefault="00AF3DE1">
      <w:pPr>
        <w:rPr>
          <w:rFonts w:cs="Arial"/>
          <w:sz w:val="20"/>
          <w:lang w:val="en-GB"/>
        </w:rPr>
      </w:pPr>
      <w:r w:rsidRPr="00AF3DE1">
        <w:rPr>
          <w:rFonts w:cs="Arial"/>
          <w:noProof/>
          <w:sz w:val="20"/>
          <w:lang w:val="en-GB"/>
        </w:rPr>
        <w:drawing>
          <wp:anchor distT="0" distB="0" distL="114300" distR="114300" simplePos="0" relativeHeight="251659264" behindDoc="0" locked="0" layoutInCell="1" allowOverlap="1" wp14:anchorId="0F9B2E94" wp14:editId="0BA6EA81">
            <wp:simplePos x="0" y="0"/>
            <wp:positionH relativeFrom="margin">
              <wp:posOffset>4689475</wp:posOffset>
            </wp:positionH>
            <wp:positionV relativeFrom="paragraph">
              <wp:posOffset>0</wp:posOffset>
            </wp:positionV>
            <wp:extent cx="1822450" cy="1114425"/>
            <wp:effectExtent l="0" t="0" r="6350" b="9525"/>
            <wp:wrapThrough wrapText="bothSides">
              <wp:wrapPolygon edited="0">
                <wp:start x="0" y="0"/>
                <wp:lineTo x="0" y="21415"/>
                <wp:lineTo x="21449" y="21415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192ADC9D" w:rsidR="00E7242E" w:rsidRPr="00106B45" w:rsidRDefault="00E7242E" w:rsidP="00E7242E">
      <w:pPr>
        <w:rPr>
          <w:rFonts w:cs="Arial"/>
          <w:sz w:val="20"/>
          <w:lang w:val="en-GB"/>
        </w:rPr>
      </w:pPr>
    </w:p>
    <w:p w14:paraId="0A37501D" w14:textId="01F22990" w:rsidR="00C333E3" w:rsidRPr="00106B45" w:rsidRDefault="00C333E3" w:rsidP="00E7242E">
      <w:pPr>
        <w:rPr>
          <w:rFonts w:cs="Arial"/>
          <w:sz w:val="20"/>
          <w:lang w:val="en-GB"/>
        </w:rPr>
      </w:pPr>
    </w:p>
    <w:p w14:paraId="5DAB6C7B" w14:textId="1F331FB0" w:rsidR="00073DD1" w:rsidRPr="00106B45" w:rsidRDefault="00073DD1" w:rsidP="00E7242E">
      <w:pPr>
        <w:rPr>
          <w:rFonts w:cs="Arial"/>
          <w:sz w:val="20"/>
          <w:lang w:val="en-GB"/>
        </w:rPr>
      </w:pPr>
    </w:p>
    <w:p w14:paraId="02EB378F" w14:textId="77777777" w:rsidR="00106B45" w:rsidRPr="00106B45" w:rsidRDefault="00106B45" w:rsidP="00E7242E">
      <w:pPr>
        <w:rPr>
          <w:rFonts w:cs="Arial"/>
          <w:sz w:val="20"/>
          <w:lang w:val="en-GB"/>
        </w:rPr>
      </w:pPr>
    </w:p>
    <w:p w14:paraId="6A05A809" w14:textId="73A71205" w:rsidR="00073DD1" w:rsidRDefault="00073DD1" w:rsidP="00E7242E">
      <w:pPr>
        <w:rPr>
          <w:rFonts w:cs="Arial"/>
          <w:sz w:val="20"/>
          <w:lang w:val="en-GB"/>
        </w:rPr>
      </w:pPr>
    </w:p>
    <w:p w14:paraId="6B6B3F9A" w14:textId="0DC53962" w:rsidR="00AF3DE1" w:rsidRDefault="00AF3DE1" w:rsidP="00E7242E">
      <w:pPr>
        <w:rPr>
          <w:rFonts w:cs="Arial"/>
          <w:sz w:val="20"/>
          <w:lang w:val="en-GB"/>
        </w:rPr>
      </w:pPr>
    </w:p>
    <w:p w14:paraId="623723D7" w14:textId="7866D4A1" w:rsidR="00AF3DE1" w:rsidRDefault="00AF3DE1" w:rsidP="00E7242E">
      <w:pPr>
        <w:rPr>
          <w:rFonts w:cs="Arial"/>
          <w:sz w:val="20"/>
          <w:lang w:val="en-GB"/>
        </w:rPr>
      </w:pPr>
    </w:p>
    <w:p w14:paraId="1BF8296A" w14:textId="77777777" w:rsidR="00AF3DE1" w:rsidRPr="00106B45" w:rsidRDefault="00AF3DE1" w:rsidP="00E7242E">
      <w:pPr>
        <w:rPr>
          <w:rFonts w:cs="Arial"/>
          <w:sz w:val="20"/>
          <w:lang w:val="en-GB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1"/>
        <w:gridCol w:w="28"/>
      </w:tblGrid>
      <w:tr w:rsidR="00E7242E" w:rsidRPr="00106B45" w14:paraId="4E61DC7D" w14:textId="77777777" w:rsidTr="00643F63">
        <w:tc>
          <w:tcPr>
            <w:tcW w:w="10377" w:type="dxa"/>
            <w:gridSpan w:val="3"/>
            <w:shd w:val="clear" w:color="auto" w:fill="000000" w:themeFill="text1"/>
            <w:vAlign w:val="center"/>
          </w:tcPr>
          <w:p w14:paraId="30C77A3B" w14:textId="413A4E40" w:rsidR="00385061" w:rsidRDefault="00E7242E" w:rsidP="00106B45">
            <w:pPr>
              <w:spacing w:before="120"/>
              <w:jc w:val="center"/>
              <w:rPr>
                <w:rFonts w:cs="Arial"/>
                <w:b/>
                <w:bCs/>
                <w:color w:val="FFFFFF"/>
                <w:szCs w:val="24"/>
                <w:lang w:val="en-GB"/>
              </w:rPr>
            </w:pPr>
            <w:r w:rsidRPr="00106B45">
              <w:rPr>
                <w:rFonts w:cs="Arial"/>
                <w:b/>
                <w:bCs/>
                <w:color w:val="FFFFFF"/>
                <w:szCs w:val="24"/>
                <w:lang w:val="en-GB"/>
              </w:rPr>
              <w:t>YOUNG ENTERPRISE</w:t>
            </w:r>
            <w:r w:rsidR="00106B45" w:rsidRPr="00106B45">
              <w:rPr>
                <w:rFonts w:cs="Arial"/>
                <w:b/>
                <w:bCs/>
                <w:color w:val="FFFFFF"/>
                <w:szCs w:val="24"/>
                <w:lang w:val="en-GB"/>
              </w:rPr>
              <w:t xml:space="preserve"> JOB DESCRIPTION</w:t>
            </w:r>
          </w:p>
          <w:p w14:paraId="39F61F10" w14:textId="1A32DBC2" w:rsidR="00E7242E" w:rsidRDefault="00AC08E7" w:rsidP="00106B45">
            <w:pPr>
              <w:spacing w:before="120"/>
              <w:jc w:val="center"/>
              <w:rPr>
                <w:rFonts w:cs="Arial"/>
                <w:b/>
                <w:bCs/>
                <w:color w:val="FFFFFF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Philanthropy Coordinator</w:t>
            </w:r>
            <w:r w:rsidR="00720A6B">
              <w:rPr>
                <w:rFonts w:cs="Arial"/>
                <w:b/>
                <w:bCs/>
                <w:color w:val="FFFFFF"/>
                <w:szCs w:val="24"/>
                <w:lang w:val="en-GB"/>
              </w:rPr>
              <w:t xml:space="preserve"> (</w:t>
            </w:r>
            <w:r w:rsidR="00AC7AFE">
              <w:rPr>
                <w:rFonts w:cs="Arial"/>
                <w:b/>
                <w:bCs/>
                <w:color w:val="FFFFFF"/>
                <w:szCs w:val="24"/>
                <w:lang w:val="en-GB"/>
              </w:rPr>
              <w:t>T</w:t>
            </w:r>
            <w:r w:rsidR="008A6F89">
              <w:rPr>
                <w:rFonts w:cs="Arial"/>
                <w:b/>
                <w:bCs/>
                <w:color w:val="FFFFFF"/>
                <w:szCs w:val="24"/>
                <w:lang w:val="en-GB"/>
              </w:rPr>
              <w:t>rusts and Foundations</w:t>
            </w:r>
            <w:r w:rsidR="003C6574">
              <w:rPr>
                <w:rFonts w:cs="Arial"/>
                <w:b/>
                <w:bCs/>
                <w:color w:val="FFFFFF"/>
                <w:szCs w:val="24"/>
                <w:lang w:val="en-GB"/>
              </w:rPr>
              <w:t>)</w:t>
            </w:r>
          </w:p>
          <w:p w14:paraId="6CA63296" w14:textId="74D8BDCC" w:rsidR="00385061" w:rsidRPr="00106B45" w:rsidRDefault="00385061" w:rsidP="00106B45">
            <w:pPr>
              <w:spacing w:before="120"/>
              <w:jc w:val="center"/>
              <w:rPr>
                <w:rFonts w:cs="Arial"/>
                <w:b/>
                <w:bCs/>
                <w:color w:val="FFFFFF"/>
                <w:szCs w:val="24"/>
                <w:lang w:val="en-GB"/>
              </w:rPr>
            </w:pPr>
          </w:p>
        </w:tc>
      </w:tr>
      <w:tr w:rsidR="00E7242E" w:rsidRPr="00106B45" w14:paraId="5995298F" w14:textId="77777777" w:rsidTr="00643F63">
        <w:trPr>
          <w:gridAfter w:val="1"/>
          <w:wAfter w:w="28" w:type="dxa"/>
        </w:trPr>
        <w:tc>
          <w:tcPr>
            <w:tcW w:w="1418" w:type="dxa"/>
          </w:tcPr>
          <w:p w14:paraId="5F4D2911" w14:textId="77777777" w:rsidR="00E7242E" w:rsidRPr="00106B45" w:rsidRDefault="00E7242E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Job title</w:t>
            </w:r>
          </w:p>
        </w:tc>
        <w:tc>
          <w:tcPr>
            <w:tcW w:w="8931" w:type="dxa"/>
          </w:tcPr>
          <w:p w14:paraId="094B37BC" w14:textId="4053C453" w:rsidR="00E7242E" w:rsidRPr="00106B45" w:rsidRDefault="00E34B5F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Philanthropy C</w:t>
            </w:r>
            <w:r w:rsidR="00AC08E7">
              <w:rPr>
                <w:rFonts w:cs="Arial"/>
                <w:sz w:val="21"/>
                <w:szCs w:val="21"/>
                <w:lang w:val="en-GB"/>
              </w:rPr>
              <w:t>oo</w:t>
            </w:r>
            <w:r>
              <w:rPr>
                <w:rFonts w:cs="Arial"/>
                <w:sz w:val="21"/>
                <w:szCs w:val="21"/>
                <w:lang w:val="en-GB"/>
              </w:rPr>
              <w:t>rdinator</w:t>
            </w:r>
            <w:r w:rsidR="003B19F8">
              <w:rPr>
                <w:rFonts w:cs="Arial"/>
                <w:sz w:val="21"/>
                <w:szCs w:val="21"/>
                <w:lang w:val="en-GB"/>
              </w:rPr>
              <w:t xml:space="preserve"> (</w:t>
            </w:r>
            <w:r w:rsidR="007C773E">
              <w:rPr>
                <w:rFonts w:cs="Arial"/>
                <w:sz w:val="21"/>
                <w:szCs w:val="21"/>
                <w:lang w:val="en-GB"/>
              </w:rPr>
              <w:t>Trust and Foundations</w:t>
            </w:r>
            <w:r w:rsidR="003B19F8">
              <w:rPr>
                <w:rFonts w:cs="Arial"/>
                <w:sz w:val="21"/>
                <w:szCs w:val="21"/>
                <w:lang w:val="en-GB"/>
              </w:rPr>
              <w:t>)</w:t>
            </w:r>
          </w:p>
        </w:tc>
      </w:tr>
      <w:tr w:rsidR="00E7242E" w:rsidRPr="00106B45" w14:paraId="585C0266" w14:textId="77777777" w:rsidTr="00643F63">
        <w:trPr>
          <w:gridAfter w:val="1"/>
          <w:wAfter w:w="28" w:type="dxa"/>
        </w:trPr>
        <w:tc>
          <w:tcPr>
            <w:tcW w:w="1418" w:type="dxa"/>
          </w:tcPr>
          <w:p w14:paraId="135D37DF" w14:textId="77777777" w:rsidR="00E7242E" w:rsidRPr="00106B45" w:rsidRDefault="00E7242E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Department</w:t>
            </w:r>
          </w:p>
        </w:tc>
        <w:tc>
          <w:tcPr>
            <w:tcW w:w="8931" w:type="dxa"/>
          </w:tcPr>
          <w:p w14:paraId="68BBDFB2" w14:textId="77777777" w:rsidR="00E7242E" w:rsidRPr="00106B45" w:rsidRDefault="005930BA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Development</w:t>
            </w:r>
          </w:p>
        </w:tc>
      </w:tr>
      <w:tr w:rsidR="00E7242E" w:rsidRPr="00106B45" w14:paraId="13FF66B5" w14:textId="77777777" w:rsidTr="00643F63">
        <w:trPr>
          <w:gridAfter w:val="1"/>
          <w:wAfter w:w="28" w:type="dxa"/>
        </w:trPr>
        <w:tc>
          <w:tcPr>
            <w:tcW w:w="1418" w:type="dxa"/>
          </w:tcPr>
          <w:p w14:paraId="287C45FE" w14:textId="77777777" w:rsidR="00E7242E" w:rsidRPr="00106B45" w:rsidRDefault="00E7242E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Pay Grade</w:t>
            </w:r>
          </w:p>
        </w:tc>
        <w:tc>
          <w:tcPr>
            <w:tcW w:w="8931" w:type="dxa"/>
          </w:tcPr>
          <w:p w14:paraId="2C2B0D90" w14:textId="1766438E" w:rsidR="00E7242E" w:rsidRPr="00106B45" w:rsidRDefault="00E34B5F" w:rsidP="15CDF3CA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4</w:t>
            </w:r>
            <w:r w:rsidR="15CDF3CA" w:rsidRPr="15CDF3CA">
              <w:rPr>
                <w:rFonts w:cs="Arial"/>
                <w:sz w:val="21"/>
                <w:szCs w:val="21"/>
                <w:lang w:val="en-GB"/>
              </w:rPr>
              <w:t xml:space="preserve"> (£</w:t>
            </w:r>
            <w:r>
              <w:rPr>
                <w:rFonts w:cs="Arial"/>
                <w:sz w:val="21"/>
                <w:szCs w:val="21"/>
                <w:lang w:val="en-GB"/>
              </w:rPr>
              <w:t>2</w:t>
            </w:r>
            <w:r w:rsidR="00910A25">
              <w:rPr>
                <w:rFonts w:cs="Arial"/>
                <w:sz w:val="21"/>
                <w:szCs w:val="21"/>
                <w:lang w:val="en-GB"/>
              </w:rPr>
              <w:t>5k - £2</w:t>
            </w:r>
            <w:r w:rsidR="00A534F2">
              <w:rPr>
                <w:rFonts w:cs="Arial"/>
                <w:sz w:val="21"/>
                <w:szCs w:val="21"/>
                <w:lang w:val="en-GB"/>
              </w:rPr>
              <w:t>8</w:t>
            </w:r>
            <w:r w:rsidR="00910A25">
              <w:rPr>
                <w:rFonts w:cs="Arial"/>
                <w:sz w:val="21"/>
                <w:szCs w:val="21"/>
                <w:lang w:val="en-GB"/>
              </w:rPr>
              <w:t>k</w:t>
            </w:r>
            <w:r w:rsidR="15CDF3CA" w:rsidRPr="15CDF3CA">
              <w:rPr>
                <w:rFonts w:cs="Arial"/>
                <w:sz w:val="21"/>
                <w:szCs w:val="21"/>
                <w:lang w:val="en-GB"/>
              </w:rPr>
              <w:t>)</w:t>
            </w:r>
          </w:p>
        </w:tc>
      </w:tr>
      <w:tr w:rsidR="00E7242E" w:rsidRPr="00106B45" w14:paraId="3B646EB6" w14:textId="77777777" w:rsidTr="00643F63">
        <w:trPr>
          <w:gridAfter w:val="1"/>
          <w:wAfter w:w="28" w:type="dxa"/>
        </w:trPr>
        <w:tc>
          <w:tcPr>
            <w:tcW w:w="1418" w:type="dxa"/>
          </w:tcPr>
          <w:p w14:paraId="1022DA8B" w14:textId="77777777" w:rsidR="00E7242E" w:rsidRPr="00106B45" w:rsidRDefault="00E7242E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Reporting to</w:t>
            </w:r>
          </w:p>
        </w:tc>
        <w:tc>
          <w:tcPr>
            <w:tcW w:w="8931" w:type="dxa"/>
          </w:tcPr>
          <w:p w14:paraId="7F288741" w14:textId="4AF61C55" w:rsidR="00E7242E" w:rsidRPr="00106B45" w:rsidRDefault="008A6F89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Senior Relationship Manager</w:t>
            </w:r>
          </w:p>
        </w:tc>
      </w:tr>
      <w:tr w:rsidR="00E7242E" w:rsidRPr="00106B45" w14:paraId="4C1ABE2A" w14:textId="77777777" w:rsidTr="00643F63">
        <w:trPr>
          <w:gridAfter w:val="1"/>
          <w:wAfter w:w="28" w:type="dxa"/>
        </w:trPr>
        <w:tc>
          <w:tcPr>
            <w:tcW w:w="1418" w:type="dxa"/>
          </w:tcPr>
          <w:p w14:paraId="0FA594ED" w14:textId="77777777" w:rsidR="00E7242E" w:rsidRPr="00106B45" w:rsidRDefault="00E7242E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Based</w:t>
            </w:r>
          </w:p>
        </w:tc>
        <w:tc>
          <w:tcPr>
            <w:tcW w:w="8931" w:type="dxa"/>
          </w:tcPr>
          <w:p w14:paraId="7F81FD33" w14:textId="54A2B955" w:rsidR="00E7242E" w:rsidRPr="00106B45" w:rsidRDefault="00F74E1C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Work from home with travel for meetings</w:t>
            </w:r>
          </w:p>
        </w:tc>
      </w:tr>
      <w:tr w:rsidR="00E7242E" w:rsidRPr="00106B45" w14:paraId="3C53719D" w14:textId="77777777" w:rsidTr="00643F63">
        <w:trPr>
          <w:gridAfter w:val="1"/>
          <w:wAfter w:w="28" w:type="dxa"/>
        </w:trPr>
        <w:tc>
          <w:tcPr>
            <w:tcW w:w="1418" w:type="dxa"/>
          </w:tcPr>
          <w:p w14:paraId="5AAC9F82" w14:textId="2C3FFC70" w:rsidR="00E7242E" w:rsidRPr="00106B45" w:rsidRDefault="00E373CF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The Role</w:t>
            </w:r>
          </w:p>
        </w:tc>
        <w:tc>
          <w:tcPr>
            <w:tcW w:w="8931" w:type="dxa"/>
          </w:tcPr>
          <w:p w14:paraId="69875BF5" w14:textId="31FA6DC3" w:rsidR="00E7242E" w:rsidRPr="00106B45" w:rsidRDefault="001059F0" w:rsidP="4F8AC11C">
            <w:pPr>
              <w:spacing w:before="60" w:after="60"/>
              <w:jc w:val="both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 xml:space="preserve">You will be a first-class communicator with a logical mind who can put together engaging and inspiring written and verbal </w:t>
            </w:r>
            <w:r w:rsidR="001E6702">
              <w:rPr>
                <w:rFonts w:cs="Arial"/>
                <w:sz w:val="21"/>
                <w:szCs w:val="21"/>
                <w:lang w:val="en-GB"/>
              </w:rPr>
              <w:t>case</w:t>
            </w:r>
            <w:r w:rsidR="009C133F">
              <w:rPr>
                <w:rFonts w:cs="Arial"/>
                <w:sz w:val="21"/>
                <w:szCs w:val="21"/>
                <w:lang w:val="en-GB"/>
              </w:rPr>
              <w:t>s</w:t>
            </w:r>
            <w:r w:rsidR="001E6702">
              <w:rPr>
                <w:rFonts w:cs="Arial"/>
                <w:sz w:val="21"/>
                <w:szCs w:val="21"/>
                <w:lang w:val="en-GB"/>
              </w:rPr>
              <w:t xml:space="preserve"> for support appropriate for each supporter or prospect. You will enjoy building strong relationships. You will be curious to explore networks and connections between trusts,</w:t>
            </w:r>
            <w:r w:rsidR="008A6F89">
              <w:rPr>
                <w:rFonts w:cs="Arial"/>
                <w:sz w:val="21"/>
                <w:szCs w:val="21"/>
                <w:lang w:val="en-GB"/>
              </w:rPr>
              <w:t xml:space="preserve"> Foundations and</w:t>
            </w:r>
            <w:r w:rsidR="001E6702">
              <w:rPr>
                <w:rFonts w:cs="Arial"/>
                <w:sz w:val="21"/>
                <w:szCs w:val="21"/>
                <w:lang w:val="en-GB"/>
              </w:rPr>
              <w:t xml:space="preserve"> their trustees</w:t>
            </w:r>
            <w:r w:rsidR="008A6F89">
              <w:rPr>
                <w:rFonts w:cs="Arial"/>
                <w:sz w:val="21"/>
                <w:szCs w:val="21"/>
                <w:lang w:val="en-GB"/>
              </w:rPr>
              <w:t>.</w:t>
            </w:r>
            <w:r w:rsidR="001E6702">
              <w:rPr>
                <w:rFonts w:cs="Arial"/>
                <w:sz w:val="21"/>
                <w:szCs w:val="21"/>
                <w:lang w:val="en-GB"/>
              </w:rPr>
              <w:t xml:space="preserve"> </w:t>
            </w:r>
          </w:p>
        </w:tc>
      </w:tr>
    </w:tbl>
    <w:p w14:paraId="5A39BBE3" w14:textId="77777777" w:rsidR="00E7242E" w:rsidRPr="00106B45" w:rsidRDefault="00E7242E" w:rsidP="00E7242E">
      <w:pPr>
        <w:ind w:left="-142"/>
        <w:rPr>
          <w:rFonts w:cs="Arial"/>
          <w:sz w:val="20"/>
          <w:lang w:val="en-GB"/>
        </w:rPr>
      </w:pPr>
    </w:p>
    <w:p w14:paraId="41C8F396" w14:textId="77777777" w:rsidR="00E7242E" w:rsidRPr="00106B45" w:rsidRDefault="00E7242E" w:rsidP="00E7242E">
      <w:pPr>
        <w:ind w:left="-142"/>
        <w:rPr>
          <w:rFonts w:cs="Arial"/>
          <w:sz w:val="20"/>
          <w:lang w:val="en-GB"/>
        </w:rPr>
      </w:pPr>
    </w:p>
    <w:p w14:paraId="72A3D3EC" w14:textId="77777777" w:rsidR="00E7242E" w:rsidRPr="00106B45" w:rsidRDefault="00E7242E" w:rsidP="00E7242E">
      <w:pPr>
        <w:rPr>
          <w:rFonts w:cs="Arial"/>
          <w:szCs w:val="24"/>
          <w:lang w:val="en-GB"/>
        </w:rPr>
      </w:pPr>
    </w:p>
    <w:tbl>
      <w:tblPr>
        <w:tblW w:w="10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5"/>
      </w:tblGrid>
      <w:tr w:rsidR="00C542F1" w:rsidRPr="00106B45" w14:paraId="57ED4AD2" w14:textId="77777777" w:rsidTr="00EE340E">
        <w:trPr>
          <w:cantSplit/>
          <w:trHeight w:val="361"/>
        </w:trPr>
        <w:tc>
          <w:tcPr>
            <w:tcW w:w="10385" w:type="dxa"/>
          </w:tcPr>
          <w:p w14:paraId="3FA13402" w14:textId="77777777" w:rsidR="00C542F1" w:rsidRPr="00106B45" w:rsidRDefault="00C542F1" w:rsidP="00E7242E">
            <w:pPr>
              <w:keepNext/>
              <w:spacing w:before="120" w:after="120"/>
              <w:outlineLvl w:val="2"/>
              <w:rPr>
                <w:rFonts w:cs="Arial"/>
                <w:b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b/>
                <w:sz w:val="21"/>
                <w:szCs w:val="21"/>
                <w:lang w:val="en-GB"/>
              </w:rPr>
              <w:t>TASK</w:t>
            </w:r>
          </w:p>
        </w:tc>
      </w:tr>
      <w:tr w:rsidR="00C542F1" w:rsidRPr="00106B45" w14:paraId="1A307F31" w14:textId="77777777" w:rsidTr="008B49AE">
        <w:trPr>
          <w:cantSplit/>
          <w:trHeight w:val="622"/>
        </w:trPr>
        <w:tc>
          <w:tcPr>
            <w:tcW w:w="10385" w:type="dxa"/>
          </w:tcPr>
          <w:p w14:paraId="04D213D8" w14:textId="22C9FAFD" w:rsidR="00C542F1" w:rsidRPr="00E0128F" w:rsidRDefault="00C542F1" w:rsidP="0067123C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 w:rsidRPr="00E0128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To achieve or exceed agreed income targets. </w:t>
            </w:r>
            <w:r w:rsidR="00475525" w:rsidRPr="00E0128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With a focus on securing donations from Trust and Foundations</w:t>
            </w:r>
            <w:r w:rsidR="009525CD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</w:tr>
      <w:tr w:rsidR="00C542F1" w14:paraId="6B4BF8DD" w14:textId="77777777" w:rsidTr="00EE340E">
        <w:trPr>
          <w:cantSplit/>
          <w:trHeight w:val="541"/>
        </w:trPr>
        <w:tc>
          <w:tcPr>
            <w:tcW w:w="10385" w:type="dxa"/>
          </w:tcPr>
          <w:p w14:paraId="57398857" w14:textId="65641E2F" w:rsidR="00C542F1" w:rsidRPr="00E0128F" w:rsidRDefault="00C542F1" w:rsidP="00634B89">
            <w:pPr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 w:rsidRPr="00E0128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Manage excellent internal relationships across departments and regions to gain support for new proposals and involve them in new business projects</w:t>
            </w:r>
          </w:p>
        </w:tc>
      </w:tr>
      <w:tr w:rsidR="00C542F1" w:rsidRPr="00106B45" w14:paraId="0EB1C1B9" w14:textId="77777777" w:rsidTr="00EE340E">
        <w:trPr>
          <w:cantSplit/>
          <w:trHeight w:val="902"/>
        </w:trPr>
        <w:tc>
          <w:tcPr>
            <w:tcW w:w="10385" w:type="dxa"/>
          </w:tcPr>
          <w:p w14:paraId="689D7DC8" w14:textId="7B4EBDAB" w:rsidR="00C542F1" w:rsidRPr="00E0128F" w:rsidRDefault="00C542F1" w:rsidP="4F8AC11C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 w:rsidRPr="00E0128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Introduce innovation to account management </w:t>
            </w:r>
            <w:r w:rsidR="00482438" w:rsidRPr="00E0128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that keeps partners </w:t>
            </w:r>
            <w:r w:rsidR="00502A36" w:rsidRPr="00E0128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well informed as part</w:t>
            </w:r>
            <w:r w:rsidR="003826F5" w:rsidRPr="00E0128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of robust stewardship plans, ensuring we retain partners, react to opportunities</w:t>
            </w:r>
            <w:r w:rsidR="00920CFE" w:rsidRPr="00E0128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as well as opportunities</w:t>
            </w:r>
            <w:r w:rsidR="00E60ECF" w:rsidRPr="00E0128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to network with their connections</w:t>
            </w:r>
          </w:p>
        </w:tc>
      </w:tr>
      <w:tr w:rsidR="00C542F1" w:rsidRPr="00106B45" w14:paraId="48281352" w14:textId="77777777" w:rsidTr="00EE340E">
        <w:trPr>
          <w:cantSplit/>
          <w:trHeight w:val="541"/>
        </w:trPr>
        <w:tc>
          <w:tcPr>
            <w:tcW w:w="10385" w:type="dxa"/>
          </w:tcPr>
          <w:p w14:paraId="37BCD085" w14:textId="270713A7" w:rsidR="00C542F1" w:rsidRPr="00E0128F" w:rsidRDefault="00C542F1" w:rsidP="00CA2267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 w:rsidRPr="00E0128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Develop compelling, inspiring and appropriate cases for support</w:t>
            </w:r>
          </w:p>
        </w:tc>
      </w:tr>
      <w:tr w:rsidR="00C542F1" w:rsidRPr="00106B45" w14:paraId="73DBF886" w14:textId="77777777" w:rsidTr="00EE340E">
        <w:trPr>
          <w:cantSplit/>
          <w:trHeight w:val="722"/>
        </w:trPr>
        <w:tc>
          <w:tcPr>
            <w:tcW w:w="10385" w:type="dxa"/>
          </w:tcPr>
          <w:p w14:paraId="1EA29EFE" w14:textId="138F3870" w:rsidR="00C542F1" w:rsidRPr="00E0128F" w:rsidRDefault="00C542F1" w:rsidP="003023E1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 w:rsidRPr="00E0128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Research and qualify a robust pipeline of prospects, plan and implement bespoke approaches, result</w:t>
            </w:r>
            <w:r w:rsidR="00A637C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ing in strong application</w:t>
            </w:r>
            <w:r w:rsidR="00F1052F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s for funding </w:t>
            </w:r>
          </w:p>
        </w:tc>
      </w:tr>
      <w:tr w:rsidR="00C542F1" w:rsidRPr="00106B45" w14:paraId="2215D974" w14:textId="77777777" w:rsidTr="00EE340E">
        <w:trPr>
          <w:cantSplit/>
          <w:trHeight w:val="722"/>
        </w:trPr>
        <w:tc>
          <w:tcPr>
            <w:tcW w:w="10385" w:type="dxa"/>
          </w:tcPr>
          <w:p w14:paraId="6024035D" w14:textId="6A7309A6" w:rsidR="00C542F1" w:rsidRPr="00106B45" w:rsidRDefault="00BB1E8A" w:rsidP="003023E1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Manage pipeline to ensure best possible prospect management is implemented and delivered</w:t>
            </w:r>
            <w:r w:rsidR="00C542F1" w:rsidRPr="00106B45">
              <w:rPr>
                <w:rFonts w:cs="Arial"/>
                <w:sz w:val="21"/>
                <w:szCs w:val="21"/>
                <w:lang w:val="en-GB"/>
              </w:rPr>
              <w:t xml:space="preserve"> </w:t>
            </w:r>
          </w:p>
        </w:tc>
      </w:tr>
      <w:tr w:rsidR="008B49AE" w:rsidRPr="00106B45" w14:paraId="394577E6" w14:textId="77777777" w:rsidTr="00EE340E">
        <w:trPr>
          <w:cantSplit/>
          <w:trHeight w:val="722"/>
        </w:trPr>
        <w:tc>
          <w:tcPr>
            <w:tcW w:w="10385" w:type="dxa"/>
          </w:tcPr>
          <w:p w14:paraId="5CAECEEE" w14:textId="59BFC38B" w:rsidR="008B49AE" w:rsidRDefault="00F34EB2" w:rsidP="003023E1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Support the Development team to plan and run donor engagement events</w:t>
            </w:r>
          </w:p>
        </w:tc>
      </w:tr>
      <w:tr w:rsidR="00815B7C" w:rsidRPr="00106B45" w14:paraId="3FBAB894" w14:textId="77777777" w:rsidTr="00EE340E">
        <w:trPr>
          <w:cantSplit/>
          <w:trHeight w:val="722"/>
        </w:trPr>
        <w:tc>
          <w:tcPr>
            <w:tcW w:w="10385" w:type="dxa"/>
          </w:tcPr>
          <w:p w14:paraId="1903BEC8" w14:textId="71EA091C" w:rsidR="00815B7C" w:rsidRDefault="00E97C86" w:rsidP="003023E1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 xml:space="preserve">Administration including </w:t>
            </w:r>
            <w:r w:rsidR="006C2720">
              <w:rPr>
                <w:rFonts w:cs="Arial"/>
                <w:sz w:val="21"/>
                <w:szCs w:val="21"/>
                <w:lang w:val="en-GB"/>
              </w:rPr>
              <w:t xml:space="preserve">writing reports for funders, maintaining accurate database records </w:t>
            </w:r>
          </w:p>
        </w:tc>
      </w:tr>
    </w:tbl>
    <w:p w14:paraId="615FB271" w14:textId="77777777" w:rsidR="0066036B" w:rsidRDefault="0066036B" w:rsidP="00E7242E">
      <w:pPr>
        <w:spacing w:before="120"/>
        <w:ind w:left="-284" w:right="-144"/>
        <w:jc w:val="both"/>
        <w:rPr>
          <w:rFonts w:cs="Arial"/>
          <w:sz w:val="20"/>
          <w:lang w:val="en-GB"/>
        </w:rPr>
      </w:pPr>
    </w:p>
    <w:p w14:paraId="1365D103" w14:textId="77777777" w:rsidR="000E2507" w:rsidRPr="00106B45" w:rsidRDefault="000E2507" w:rsidP="00E7242E">
      <w:pPr>
        <w:spacing w:before="120"/>
        <w:ind w:left="-284" w:right="-144"/>
        <w:jc w:val="both"/>
        <w:rPr>
          <w:rFonts w:cs="Arial"/>
          <w:sz w:val="20"/>
          <w:lang w:val="en-GB"/>
        </w:rPr>
      </w:pPr>
    </w:p>
    <w:p w14:paraId="0D0B940D" w14:textId="77777777" w:rsidR="00E7242E" w:rsidRPr="00106B45" w:rsidRDefault="00E7242E" w:rsidP="00E7242E">
      <w:pPr>
        <w:rPr>
          <w:rFonts w:cs="Arial"/>
          <w:sz w:val="20"/>
          <w:lang w:val="en-GB"/>
        </w:rPr>
      </w:pP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038"/>
      </w:tblGrid>
      <w:tr w:rsidR="00E7242E" w:rsidRPr="00106B45" w14:paraId="73C14089" w14:textId="77777777" w:rsidTr="4F8AC11C">
        <w:tc>
          <w:tcPr>
            <w:tcW w:w="10315" w:type="dxa"/>
            <w:gridSpan w:val="2"/>
            <w:shd w:val="clear" w:color="auto" w:fill="000000" w:themeFill="text1"/>
          </w:tcPr>
          <w:p w14:paraId="3578B91D" w14:textId="77777777" w:rsidR="00E7242E" w:rsidRPr="00106B45" w:rsidRDefault="00E7242E" w:rsidP="00E7242E">
            <w:pPr>
              <w:keepNext/>
              <w:spacing w:before="120" w:after="120"/>
              <w:jc w:val="center"/>
              <w:outlineLvl w:val="0"/>
              <w:rPr>
                <w:rFonts w:cs="Arial"/>
                <w:b/>
                <w:color w:val="FFFFFF"/>
                <w:szCs w:val="24"/>
                <w:lang w:val="en-GB"/>
              </w:rPr>
            </w:pPr>
            <w:r w:rsidRPr="00106B45">
              <w:rPr>
                <w:rFonts w:cs="Arial"/>
                <w:b/>
                <w:szCs w:val="24"/>
                <w:lang w:val="en-GB"/>
              </w:rPr>
              <w:lastRenderedPageBreak/>
              <w:t>SKILLS/ ATTRIBUTES/ KNOWLEDGE/ EXPERIENCE</w:t>
            </w:r>
          </w:p>
        </w:tc>
      </w:tr>
      <w:tr w:rsidR="00106B45" w:rsidRPr="00106B45" w14:paraId="0878F04F" w14:textId="77777777" w:rsidTr="4F8AC11C">
        <w:trPr>
          <w:cantSplit/>
        </w:trPr>
        <w:tc>
          <w:tcPr>
            <w:tcW w:w="1277" w:type="dxa"/>
            <w:vMerge w:val="restart"/>
          </w:tcPr>
          <w:p w14:paraId="0895C2DB" w14:textId="77777777" w:rsidR="00106B45" w:rsidRPr="00106B45" w:rsidRDefault="00106B45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Essential</w:t>
            </w:r>
          </w:p>
        </w:tc>
        <w:tc>
          <w:tcPr>
            <w:tcW w:w="9038" w:type="dxa"/>
          </w:tcPr>
          <w:p w14:paraId="37821DDA" w14:textId="6D6538C6" w:rsidR="00106B45" w:rsidRPr="00106B45" w:rsidRDefault="4F8AC11C" w:rsidP="4F8AC11C">
            <w:pPr>
              <w:spacing w:before="240"/>
              <w:rPr>
                <w:rFonts w:cs="Arial"/>
                <w:sz w:val="21"/>
                <w:szCs w:val="21"/>
                <w:highlight w:val="yellow"/>
                <w:lang w:val="en-GB"/>
              </w:rPr>
            </w:pPr>
            <w:r w:rsidRPr="4F8AC11C">
              <w:rPr>
                <w:rFonts w:cs="Arial"/>
                <w:sz w:val="21"/>
                <w:szCs w:val="21"/>
                <w:lang w:val="en-GB"/>
              </w:rPr>
              <w:t xml:space="preserve">A </w:t>
            </w:r>
            <w:r w:rsidR="00C542F1">
              <w:rPr>
                <w:rFonts w:cs="Arial"/>
                <w:sz w:val="21"/>
                <w:szCs w:val="21"/>
                <w:lang w:val="en-GB"/>
              </w:rPr>
              <w:t>demonstra</w:t>
            </w:r>
            <w:r w:rsidR="00FB38EC">
              <w:rPr>
                <w:rFonts w:cs="Arial"/>
                <w:sz w:val="21"/>
                <w:szCs w:val="21"/>
                <w:lang w:val="en-GB"/>
              </w:rPr>
              <w:t xml:space="preserve">ble track record </w:t>
            </w:r>
            <w:r w:rsidR="0095457A">
              <w:rPr>
                <w:rFonts w:cs="Arial"/>
                <w:sz w:val="21"/>
                <w:szCs w:val="21"/>
                <w:lang w:val="en-GB"/>
              </w:rPr>
              <w:t xml:space="preserve">of </w:t>
            </w:r>
            <w:r w:rsidR="00FB38EC">
              <w:rPr>
                <w:rFonts w:cs="Arial"/>
                <w:sz w:val="21"/>
                <w:szCs w:val="21"/>
                <w:lang w:val="en-GB"/>
              </w:rPr>
              <w:t>successful</w:t>
            </w:r>
            <w:r w:rsidR="0095457A">
              <w:rPr>
                <w:rFonts w:cs="Arial"/>
                <w:sz w:val="21"/>
                <w:szCs w:val="21"/>
                <w:lang w:val="en-GB"/>
              </w:rPr>
              <w:t>ly applying to</w:t>
            </w:r>
            <w:r w:rsidR="00FB38EC">
              <w:rPr>
                <w:rFonts w:cs="Arial"/>
                <w:sz w:val="21"/>
                <w:szCs w:val="21"/>
                <w:lang w:val="en-GB"/>
              </w:rPr>
              <w:t xml:space="preserve"> </w:t>
            </w:r>
            <w:r w:rsidR="00BA0CF3">
              <w:rPr>
                <w:rFonts w:cs="Arial"/>
                <w:sz w:val="21"/>
                <w:szCs w:val="21"/>
                <w:lang w:val="en-GB"/>
              </w:rPr>
              <w:t>Trust and Found</w:t>
            </w:r>
            <w:r w:rsidR="00B12FB2">
              <w:rPr>
                <w:rFonts w:cs="Arial"/>
                <w:sz w:val="21"/>
                <w:szCs w:val="21"/>
                <w:lang w:val="en-GB"/>
              </w:rPr>
              <w:t>ations</w:t>
            </w:r>
            <w:r w:rsidR="00B60662">
              <w:rPr>
                <w:rFonts w:cs="Arial"/>
                <w:sz w:val="21"/>
                <w:szCs w:val="21"/>
                <w:lang w:val="en-GB"/>
              </w:rPr>
              <w:t xml:space="preserve"> </w:t>
            </w:r>
            <w:r w:rsidR="005A36DA">
              <w:rPr>
                <w:rFonts w:cs="Arial"/>
                <w:sz w:val="21"/>
                <w:szCs w:val="21"/>
                <w:lang w:val="en-GB"/>
              </w:rPr>
              <w:t xml:space="preserve">with strong examples of </w:t>
            </w:r>
            <w:r w:rsidR="00F63229">
              <w:rPr>
                <w:rFonts w:cs="Arial"/>
                <w:sz w:val="21"/>
                <w:szCs w:val="21"/>
                <w:lang w:val="en-GB"/>
              </w:rPr>
              <w:t xml:space="preserve">up to </w:t>
            </w:r>
            <w:r w:rsidR="005A36DA">
              <w:rPr>
                <w:rFonts w:cs="Arial"/>
                <w:sz w:val="21"/>
                <w:szCs w:val="21"/>
                <w:lang w:val="en-GB"/>
              </w:rPr>
              <w:t>£</w:t>
            </w:r>
            <w:r w:rsidR="00F63229">
              <w:rPr>
                <w:rFonts w:cs="Arial"/>
                <w:sz w:val="21"/>
                <w:szCs w:val="21"/>
                <w:lang w:val="en-GB"/>
              </w:rPr>
              <w:t>10k</w:t>
            </w:r>
            <w:r w:rsidR="005A36DA">
              <w:rPr>
                <w:rFonts w:cs="Arial"/>
                <w:sz w:val="21"/>
                <w:szCs w:val="21"/>
                <w:lang w:val="en-GB"/>
              </w:rPr>
              <w:t xml:space="preserve"> successful a</w:t>
            </w:r>
            <w:r w:rsidR="00B12FB2">
              <w:rPr>
                <w:rFonts w:cs="Arial"/>
                <w:sz w:val="21"/>
                <w:szCs w:val="21"/>
                <w:lang w:val="en-GB"/>
              </w:rPr>
              <w:t>pplications</w:t>
            </w:r>
          </w:p>
        </w:tc>
      </w:tr>
      <w:tr w:rsidR="00106B45" w:rsidRPr="00106B45" w14:paraId="396B076F" w14:textId="77777777" w:rsidTr="4F8AC11C">
        <w:trPr>
          <w:cantSplit/>
        </w:trPr>
        <w:tc>
          <w:tcPr>
            <w:tcW w:w="1277" w:type="dxa"/>
            <w:vMerge/>
          </w:tcPr>
          <w:p w14:paraId="60061E4C" w14:textId="77777777" w:rsidR="00106B45" w:rsidRPr="00106B45" w:rsidRDefault="00106B45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9038" w:type="dxa"/>
          </w:tcPr>
          <w:p w14:paraId="2BC54F71" w14:textId="169914A7" w:rsidR="00106B45" w:rsidRPr="00106B45" w:rsidRDefault="00106B45" w:rsidP="00E7242E">
            <w:pPr>
              <w:spacing w:before="120"/>
              <w:rPr>
                <w:rFonts w:cs="Arial"/>
                <w:sz w:val="21"/>
                <w:szCs w:val="21"/>
                <w:highlight w:val="yellow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 xml:space="preserve">Excellent communication skills, both verbal and written, with the </w:t>
            </w:r>
            <w:r w:rsidR="00A00FF5">
              <w:rPr>
                <w:rFonts w:cs="Arial"/>
                <w:sz w:val="21"/>
                <w:szCs w:val="21"/>
                <w:lang w:val="en-GB"/>
              </w:rPr>
              <w:t xml:space="preserve">credibility </w:t>
            </w:r>
            <w:r w:rsidRPr="00106B45">
              <w:rPr>
                <w:rFonts w:cs="Arial"/>
                <w:sz w:val="21"/>
                <w:szCs w:val="21"/>
                <w:lang w:val="en-GB"/>
              </w:rPr>
              <w:t xml:space="preserve">and authority </w:t>
            </w:r>
            <w:r w:rsidR="00A00FF5">
              <w:rPr>
                <w:rFonts w:cs="Arial"/>
                <w:sz w:val="21"/>
                <w:szCs w:val="21"/>
                <w:lang w:val="en-GB"/>
              </w:rPr>
              <w:t>to inspire others</w:t>
            </w:r>
            <w:r w:rsidR="00CE1932">
              <w:rPr>
                <w:rFonts w:cs="Arial"/>
                <w:sz w:val="21"/>
                <w:szCs w:val="21"/>
                <w:lang w:val="en-GB"/>
              </w:rPr>
              <w:t>.</w:t>
            </w:r>
          </w:p>
        </w:tc>
      </w:tr>
      <w:tr w:rsidR="00106B45" w:rsidRPr="00106B45" w14:paraId="41CE8D4E" w14:textId="77777777" w:rsidTr="4F8AC11C">
        <w:trPr>
          <w:cantSplit/>
        </w:trPr>
        <w:tc>
          <w:tcPr>
            <w:tcW w:w="1277" w:type="dxa"/>
            <w:vMerge/>
          </w:tcPr>
          <w:p w14:paraId="44EAFD9C" w14:textId="77777777" w:rsidR="00106B45" w:rsidRPr="00106B45" w:rsidRDefault="00106B45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9038" w:type="dxa"/>
          </w:tcPr>
          <w:p w14:paraId="59D25130" w14:textId="77777777" w:rsidR="00106B45" w:rsidRPr="00106B45" w:rsidRDefault="00106B45" w:rsidP="00E7242E">
            <w:pPr>
              <w:spacing w:before="12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Strong persuasive and negotiating skills which result in positive outcomes, with the resilience and motivation to overcome initial negative responses to proposals.</w:t>
            </w:r>
          </w:p>
        </w:tc>
      </w:tr>
      <w:tr w:rsidR="00106B45" w:rsidRPr="00106B45" w14:paraId="6300DB06" w14:textId="77777777" w:rsidTr="4F8AC11C">
        <w:trPr>
          <w:cantSplit/>
        </w:trPr>
        <w:tc>
          <w:tcPr>
            <w:tcW w:w="1277" w:type="dxa"/>
            <w:vMerge/>
          </w:tcPr>
          <w:p w14:paraId="3DEEC669" w14:textId="77777777" w:rsidR="00106B45" w:rsidRPr="00106B45" w:rsidRDefault="00106B45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9038" w:type="dxa"/>
          </w:tcPr>
          <w:p w14:paraId="42ED8AF6" w14:textId="2517D6D6" w:rsidR="00106B45" w:rsidRPr="00106B45" w:rsidRDefault="00106B45" w:rsidP="00EE346E">
            <w:pPr>
              <w:spacing w:before="12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 xml:space="preserve">Strong organisational skills </w:t>
            </w:r>
            <w:r w:rsidR="0061120E">
              <w:rPr>
                <w:rFonts w:cs="Arial"/>
                <w:sz w:val="21"/>
                <w:szCs w:val="21"/>
                <w:lang w:val="en-GB"/>
              </w:rPr>
              <w:t xml:space="preserve">and attention to detail. A </w:t>
            </w:r>
            <w:r w:rsidR="00FB5400">
              <w:rPr>
                <w:rFonts w:cs="Arial"/>
                <w:sz w:val="21"/>
                <w:szCs w:val="21"/>
                <w:lang w:val="en-GB"/>
              </w:rPr>
              <w:t>successful track record</w:t>
            </w:r>
            <w:r w:rsidRPr="00106B45">
              <w:rPr>
                <w:rFonts w:cs="Arial"/>
                <w:sz w:val="21"/>
                <w:szCs w:val="21"/>
                <w:lang w:val="en-GB"/>
              </w:rPr>
              <w:t xml:space="preserve"> of m</w:t>
            </w:r>
            <w:r w:rsidR="00821C08">
              <w:rPr>
                <w:rFonts w:cs="Arial"/>
                <w:sz w:val="21"/>
                <w:szCs w:val="21"/>
                <w:lang w:val="en-GB"/>
              </w:rPr>
              <w:t>eeting de</w:t>
            </w:r>
            <w:r w:rsidR="000F218E">
              <w:rPr>
                <w:rFonts w:cs="Arial"/>
                <w:sz w:val="21"/>
                <w:szCs w:val="21"/>
                <w:lang w:val="en-GB"/>
              </w:rPr>
              <w:t>adlines and managing own workload.</w:t>
            </w:r>
          </w:p>
        </w:tc>
      </w:tr>
      <w:tr w:rsidR="00E7242E" w:rsidRPr="00106B45" w14:paraId="44DE8F54" w14:textId="77777777" w:rsidTr="4F8AC11C">
        <w:trPr>
          <w:cantSplit/>
        </w:trPr>
        <w:tc>
          <w:tcPr>
            <w:tcW w:w="1277" w:type="dxa"/>
          </w:tcPr>
          <w:p w14:paraId="248B3EE6" w14:textId="77777777" w:rsidR="00E7242E" w:rsidRPr="00106B45" w:rsidRDefault="00E7242E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Desirable</w:t>
            </w:r>
          </w:p>
        </w:tc>
        <w:tc>
          <w:tcPr>
            <w:tcW w:w="9038" w:type="dxa"/>
          </w:tcPr>
          <w:p w14:paraId="33716BDA" w14:textId="77777777" w:rsidR="00E7242E" w:rsidRPr="00106B45" w:rsidRDefault="0019398A" w:rsidP="0019398A">
            <w:pPr>
              <w:spacing w:before="12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A</w:t>
            </w:r>
            <w:r w:rsidR="00E7242E" w:rsidRPr="00106B45">
              <w:rPr>
                <w:rFonts w:cs="Arial"/>
                <w:sz w:val="21"/>
                <w:szCs w:val="21"/>
                <w:lang w:val="en-GB"/>
              </w:rPr>
              <w:t xml:space="preserve"> basic knowledge of current education initiatives, practice and thinking as relevant to th</w:t>
            </w:r>
            <w:r w:rsidRPr="00106B45">
              <w:rPr>
                <w:rFonts w:cs="Arial"/>
                <w:sz w:val="21"/>
                <w:szCs w:val="21"/>
                <w:lang w:val="en-GB"/>
              </w:rPr>
              <w:t>e work of Young Enterprise</w:t>
            </w:r>
            <w:r w:rsidR="00073DD1" w:rsidRPr="00106B45">
              <w:rPr>
                <w:rFonts w:cs="Arial"/>
                <w:sz w:val="21"/>
                <w:szCs w:val="21"/>
                <w:lang w:val="en-GB"/>
              </w:rPr>
              <w:t>.</w:t>
            </w:r>
          </w:p>
        </w:tc>
      </w:tr>
      <w:tr w:rsidR="00EA1003" w:rsidRPr="00106B45" w14:paraId="0F567FA2" w14:textId="77777777" w:rsidTr="4F8AC11C">
        <w:trPr>
          <w:cantSplit/>
        </w:trPr>
        <w:tc>
          <w:tcPr>
            <w:tcW w:w="1277" w:type="dxa"/>
          </w:tcPr>
          <w:p w14:paraId="43B2472B" w14:textId="77777777" w:rsidR="00EA1003" w:rsidRPr="00106B45" w:rsidRDefault="00EA1003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9038" w:type="dxa"/>
          </w:tcPr>
          <w:p w14:paraId="2961285F" w14:textId="33369D58" w:rsidR="00EA1003" w:rsidRPr="008027FE" w:rsidRDefault="008027FE" w:rsidP="008027FE">
            <w:pPr>
              <w:rPr>
                <w:sz w:val="21"/>
                <w:szCs w:val="21"/>
              </w:rPr>
            </w:pPr>
            <w:r w:rsidRPr="008027FE">
              <w:rPr>
                <w:sz w:val="21"/>
                <w:szCs w:val="21"/>
              </w:rPr>
              <w:t xml:space="preserve">Understanding of prospect research of </w:t>
            </w:r>
            <w:r w:rsidR="002541CD">
              <w:rPr>
                <w:sz w:val="21"/>
                <w:szCs w:val="21"/>
              </w:rPr>
              <w:t>Trust and Foundations</w:t>
            </w:r>
          </w:p>
        </w:tc>
      </w:tr>
      <w:tr w:rsidR="008027FE" w:rsidRPr="00106B45" w14:paraId="6353552F" w14:textId="77777777" w:rsidTr="4F8AC11C">
        <w:trPr>
          <w:cantSplit/>
        </w:trPr>
        <w:tc>
          <w:tcPr>
            <w:tcW w:w="1277" w:type="dxa"/>
          </w:tcPr>
          <w:p w14:paraId="7CD47F27" w14:textId="77777777" w:rsidR="008027FE" w:rsidRPr="00106B45" w:rsidRDefault="008027FE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9038" w:type="dxa"/>
          </w:tcPr>
          <w:p w14:paraId="49A3C339" w14:textId="77777777" w:rsidR="00447316" w:rsidRPr="00447316" w:rsidRDefault="00447316" w:rsidP="00447316">
            <w:pPr>
              <w:rPr>
                <w:sz w:val="21"/>
                <w:szCs w:val="21"/>
                <w:lang w:val="en-GB"/>
              </w:rPr>
            </w:pPr>
            <w:r w:rsidRPr="00447316">
              <w:rPr>
                <w:sz w:val="21"/>
                <w:szCs w:val="21"/>
                <w:lang w:val="en-GB"/>
              </w:rPr>
              <w:t>Knowledge and experience of planning and running events to engage supporters and prospects</w:t>
            </w:r>
          </w:p>
          <w:p w14:paraId="7F1F0016" w14:textId="77777777" w:rsidR="008027FE" w:rsidRPr="008027FE" w:rsidRDefault="008027FE" w:rsidP="008027FE">
            <w:pPr>
              <w:rPr>
                <w:sz w:val="21"/>
                <w:szCs w:val="21"/>
              </w:rPr>
            </w:pPr>
          </w:p>
        </w:tc>
      </w:tr>
      <w:tr w:rsidR="00EE346E" w:rsidRPr="00106B45" w14:paraId="4B39927E" w14:textId="77777777" w:rsidTr="4F8AC11C">
        <w:trPr>
          <w:cantSplit/>
        </w:trPr>
        <w:tc>
          <w:tcPr>
            <w:tcW w:w="1277" w:type="dxa"/>
          </w:tcPr>
          <w:p w14:paraId="53128261" w14:textId="16C43C61" w:rsidR="00EE346E" w:rsidRPr="00106B45" w:rsidRDefault="00C542F1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Qualities</w:t>
            </w:r>
          </w:p>
        </w:tc>
        <w:tc>
          <w:tcPr>
            <w:tcW w:w="9038" w:type="dxa"/>
          </w:tcPr>
          <w:p w14:paraId="1CFD434E" w14:textId="7AF59DF8" w:rsidR="00EE346E" w:rsidRPr="00106B45" w:rsidRDefault="00C63B18" w:rsidP="00E7242E">
            <w:pPr>
              <w:spacing w:before="12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 xml:space="preserve">Resourceful and outgoing personality </w:t>
            </w:r>
          </w:p>
        </w:tc>
      </w:tr>
      <w:tr w:rsidR="00C63B18" w:rsidRPr="00106B45" w14:paraId="180D0040" w14:textId="77777777" w:rsidTr="4F8AC11C">
        <w:trPr>
          <w:cantSplit/>
        </w:trPr>
        <w:tc>
          <w:tcPr>
            <w:tcW w:w="1277" w:type="dxa"/>
          </w:tcPr>
          <w:p w14:paraId="04122A25" w14:textId="77777777" w:rsidR="00C63B18" w:rsidRDefault="00C63B18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9038" w:type="dxa"/>
          </w:tcPr>
          <w:p w14:paraId="47E78603" w14:textId="3CD38C85" w:rsidR="00C63B18" w:rsidRDefault="00C63B18" w:rsidP="00E7242E">
            <w:pPr>
              <w:spacing w:before="12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Able to relate well to people</w:t>
            </w:r>
          </w:p>
        </w:tc>
      </w:tr>
      <w:tr w:rsidR="00C63B18" w:rsidRPr="00106B45" w14:paraId="1CF9F631" w14:textId="77777777" w:rsidTr="4F8AC11C">
        <w:trPr>
          <w:cantSplit/>
        </w:trPr>
        <w:tc>
          <w:tcPr>
            <w:tcW w:w="1277" w:type="dxa"/>
          </w:tcPr>
          <w:p w14:paraId="5346875D" w14:textId="77777777" w:rsidR="00C63B18" w:rsidRDefault="00C63B18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9038" w:type="dxa"/>
          </w:tcPr>
          <w:p w14:paraId="53C3E376" w14:textId="0CB7BC88" w:rsidR="00C63B18" w:rsidRDefault="00C63B18" w:rsidP="00E7242E">
            <w:pPr>
              <w:spacing w:before="12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Adaptable and responsive to needs of Young Ent</w:t>
            </w:r>
            <w:r w:rsidR="00D051E8">
              <w:rPr>
                <w:rFonts w:cs="Arial"/>
                <w:sz w:val="21"/>
                <w:szCs w:val="21"/>
                <w:lang w:val="en-GB"/>
              </w:rPr>
              <w:t>erprise</w:t>
            </w:r>
          </w:p>
        </w:tc>
      </w:tr>
      <w:tr w:rsidR="00D051E8" w:rsidRPr="00106B45" w14:paraId="3A862D51" w14:textId="77777777" w:rsidTr="4F8AC11C">
        <w:trPr>
          <w:cantSplit/>
        </w:trPr>
        <w:tc>
          <w:tcPr>
            <w:tcW w:w="1277" w:type="dxa"/>
          </w:tcPr>
          <w:p w14:paraId="24900F8C" w14:textId="77777777" w:rsidR="00D051E8" w:rsidRDefault="00D051E8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9038" w:type="dxa"/>
          </w:tcPr>
          <w:p w14:paraId="45B1368A" w14:textId="628428C6" w:rsidR="00D051E8" w:rsidRDefault="00D051E8" w:rsidP="00E7242E">
            <w:pPr>
              <w:spacing w:before="12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 xml:space="preserve">Commitment to quality, continuous improvement, </w:t>
            </w:r>
            <w:r w:rsidR="009F4586">
              <w:rPr>
                <w:rFonts w:cs="Arial"/>
                <w:sz w:val="21"/>
                <w:szCs w:val="21"/>
                <w:lang w:val="en-GB"/>
              </w:rPr>
              <w:t>integrity,</w:t>
            </w:r>
            <w:r>
              <w:rPr>
                <w:rFonts w:cs="Arial"/>
                <w:sz w:val="21"/>
                <w:szCs w:val="21"/>
                <w:lang w:val="en-GB"/>
              </w:rPr>
              <w:t xml:space="preserve"> and equal opportunities</w:t>
            </w:r>
          </w:p>
        </w:tc>
      </w:tr>
      <w:tr w:rsidR="00D051E8" w:rsidRPr="00106B45" w14:paraId="7D9AEACF" w14:textId="77777777" w:rsidTr="4F8AC11C">
        <w:trPr>
          <w:cantSplit/>
        </w:trPr>
        <w:tc>
          <w:tcPr>
            <w:tcW w:w="1277" w:type="dxa"/>
          </w:tcPr>
          <w:p w14:paraId="3390F05E" w14:textId="77777777" w:rsidR="00D051E8" w:rsidRDefault="00D051E8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9038" w:type="dxa"/>
          </w:tcPr>
          <w:p w14:paraId="5A62065C" w14:textId="00E338B4" w:rsidR="00D051E8" w:rsidRDefault="00D051E8" w:rsidP="00E7242E">
            <w:pPr>
              <w:spacing w:before="12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Team player</w:t>
            </w:r>
          </w:p>
        </w:tc>
      </w:tr>
      <w:tr w:rsidR="00D051E8" w:rsidRPr="00106B45" w14:paraId="03885CAE" w14:textId="77777777" w:rsidTr="4F8AC11C">
        <w:trPr>
          <w:cantSplit/>
        </w:trPr>
        <w:tc>
          <w:tcPr>
            <w:tcW w:w="1277" w:type="dxa"/>
          </w:tcPr>
          <w:p w14:paraId="3991E355" w14:textId="77777777" w:rsidR="00D051E8" w:rsidRDefault="00D051E8" w:rsidP="00E7242E">
            <w:pPr>
              <w:spacing w:before="120" w:after="120"/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9038" w:type="dxa"/>
          </w:tcPr>
          <w:p w14:paraId="2CCB04EA" w14:textId="5E6FFAD6" w:rsidR="00D051E8" w:rsidRDefault="00D051E8" w:rsidP="00E7242E">
            <w:pPr>
              <w:spacing w:before="12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Enthusia</w:t>
            </w:r>
            <w:r w:rsidR="0071427E">
              <w:rPr>
                <w:rFonts w:cs="Arial"/>
                <w:sz w:val="21"/>
                <w:szCs w:val="21"/>
                <w:lang w:val="en-GB"/>
              </w:rPr>
              <w:t>stic and positive “can-do” attitude</w:t>
            </w:r>
          </w:p>
        </w:tc>
      </w:tr>
    </w:tbl>
    <w:p w14:paraId="7DA6C192" w14:textId="77777777" w:rsidR="0066036B" w:rsidRPr="00106B45" w:rsidRDefault="0066036B" w:rsidP="00E7242E">
      <w:pPr>
        <w:rPr>
          <w:rFonts w:cs="Arial"/>
          <w:sz w:val="20"/>
          <w:lang w:val="en-GB"/>
        </w:rPr>
      </w:pPr>
    </w:p>
    <w:tbl>
      <w:tblPr>
        <w:tblpPr w:leftFromText="180" w:rightFromText="180" w:vertAnchor="text" w:horzAnchor="margin" w:tblpX="-176" w:tblpY="2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56580" w:rsidRPr="00106B45" w14:paraId="7E4A51C8" w14:textId="77777777" w:rsidTr="00256580">
        <w:trPr>
          <w:trHeight w:val="530"/>
        </w:trPr>
        <w:tc>
          <w:tcPr>
            <w:tcW w:w="10314" w:type="dxa"/>
            <w:shd w:val="clear" w:color="auto" w:fill="000000"/>
            <w:vAlign w:val="center"/>
          </w:tcPr>
          <w:p w14:paraId="6A457E74" w14:textId="77777777" w:rsidR="00256580" w:rsidRPr="00106B45" w:rsidRDefault="00256580" w:rsidP="0025658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 w:rsidRPr="00106B45">
              <w:rPr>
                <w:rFonts w:cs="Arial"/>
                <w:b/>
                <w:bCs/>
                <w:szCs w:val="24"/>
                <w:lang w:val="en-GB"/>
              </w:rPr>
              <w:t>YOUNG ENTERPRISE CORE VALUES</w:t>
            </w:r>
          </w:p>
        </w:tc>
      </w:tr>
      <w:tr w:rsidR="00256580" w:rsidRPr="00106B45" w14:paraId="2CB6E417" w14:textId="77777777" w:rsidTr="00256580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14:paraId="4101652C" w14:textId="77777777" w:rsidR="00256580" w:rsidRPr="00106B45" w:rsidRDefault="00256580" w:rsidP="0025658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</w:p>
          <w:p w14:paraId="4F53280D" w14:textId="77777777" w:rsidR="00256580" w:rsidRPr="00106B45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b/>
                <w:bCs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b/>
                <w:bCs/>
                <w:sz w:val="21"/>
                <w:szCs w:val="21"/>
                <w:lang w:val="en-GB"/>
              </w:rPr>
              <w:t>Young Enterprise has 4 Core Organisational Values:</w:t>
            </w:r>
          </w:p>
          <w:p w14:paraId="4B99056E" w14:textId="77777777" w:rsidR="00256580" w:rsidRPr="00106B45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b/>
                <w:bCs/>
                <w:sz w:val="21"/>
                <w:szCs w:val="21"/>
                <w:lang w:val="en-GB"/>
              </w:rPr>
            </w:pPr>
          </w:p>
          <w:p w14:paraId="5831E7B2" w14:textId="77777777" w:rsidR="00256580" w:rsidRPr="00106B45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b/>
                <w:bCs/>
                <w:sz w:val="21"/>
                <w:szCs w:val="21"/>
                <w:lang w:val="en-GB"/>
              </w:rPr>
              <w:t xml:space="preserve">Unlocking Potential: </w:t>
            </w:r>
            <w:r w:rsidRPr="00106B45">
              <w:rPr>
                <w:rFonts w:cs="Arial"/>
                <w:sz w:val="21"/>
                <w:szCs w:val="21"/>
                <w:lang w:val="en-GB"/>
              </w:rPr>
              <w:t>Recognising and developing the potential of all; in our organisation; in the young people we champion and the stakeholders we work with</w:t>
            </w:r>
          </w:p>
          <w:p w14:paraId="1299C43A" w14:textId="77777777" w:rsidR="00256580" w:rsidRPr="00106B45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sz w:val="21"/>
                <w:szCs w:val="21"/>
                <w:lang w:val="en-GB"/>
              </w:rPr>
            </w:pPr>
          </w:p>
          <w:p w14:paraId="47B16913" w14:textId="77777777" w:rsidR="00256580" w:rsidRPr="00106B45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b/>
                <w:bCs/>
                <w:sz w:val="21"/>
                <w:szCs w:val="21"/>
                <w:lang w:val="en-GB"/>
              </w:rPr>
              <w:t xml:space="preserve">One Team: </w:t>
            </w:r>
            <w:r w:rsidRPr="00106B45">
              <w:rPr>
                <w:rFonts w:cs="Arial"/>
                <w:sz w:val="21"/>
                <w:szCs w:val="21"/>
                <w:lang w:val="en-GB"/>
              </w:rPr>
              <w:t>Working together effectively to achieve our goals</w:t>
            </w:r>
          </w:p>
          <w:p w14:paraId="4DDBEF00" w14:textId="77777777" w:rsidR="00256580" w:rsidRPr="00106B45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sz w:val="21"/>
                <w:szCs w:val="21"/>
                <w:lang w:val="en-GB"/>
              </w:rPr>
            </w:pPr>
          </w:p>
          <w:p w14:paraId="568E4910" w14:textId="77777777" w:rsidR="00256580" w:rsidRPr="00106B45" w:rsidRDefault="00256580" w:rsidP="00256580">
            <w:pPr>
              <w:tabs>
                <w:tab w:val="left" w:pos="0"/>
                <w:tab w:val="left" w:pos="1418"/>
              </w:tabs>
              <w:spacing w:before="6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b/>
                <w:bCs/>
                <w:sz w:val="21"/>
                <w:szCs w:val="21"/>
                <w:lang w:val="en-GB"/>
              </w:rPr>
              <w:t xml:space="preserve">Enterprising and Resilient: </w:t>
            </w:r>
            <w:r w:rsidRPr="00106B45">
              <w:rPr>
                <w:rFonts w:cs="Arial"/>
                <w:sz w:val="21"/>
                <w:szCs w:val="21"/>
                <w:lang w:val="en-GB"/>
              </w:rPr>
              <w:t>Embracing change, innovating, adapting and responding to challenges and opportunities</w:t>
            </w:r>
          </w:p>
          <w:p w14:paraId="3461D779" w14:textId="77777777" w:rsidR="00256580" w:rsidRPr="00106B45" w:rsidRDefault="00256580" w:rsidP="00256580">
            <w:pPr>
              <w:tabs>
                <w:tab w:val="left" w:pos="0"/>
                <w:tab w:val="left" w:pos="1418"/>
              </w:tabs>
              <w:spacing w:before="60"/>
              <w:rPr>
                <w:rFonts w:cs="Arial"/>
                <w:sz w:val="21"/>
                <w:szCs w:val="21"/>
                <w:lang w:val="en-GB"/>
              </w:rPr>
            </w:pPr>
          </w:p>
          <w:p w14:paraId="3EC562EA" w14:textId="77777777" w:rsidR="00256580" w:rsidRPr="00106B45" w:rsidRDefault="00256580" w:rsidP="00256580">
            <w:pPr>
              <w:tabs>
                <w:tab w:val="left" w:pos="0"/>
                <w:tab w:val="left" w:pos="1418"/>
              </w:tabs>
              <w:spacing w:before="6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b/>
                <w:bCs/>
                <w:sz w:val="21"/>
                <w:szCs w:val="21"/>
                <w:lang w:val="en-GB"/>
              </w:rPr>
              <w:t xml:space="preserve">Creating Great Impact: </w:t>
            </w:r>
            <w:r w:rsidRPr="00106B45">
              <w:rPr>
                <w:rFonts w:cs="Arial"/>
                <w:sz w:val="21"/>
                <w:szCs w:val="21"/>
                <w:lang w:val="en-GB"/>
              </w:rPr>
              <w:t>Aiming for the biggest impact on young people and their educators</w:t>
            </w:r>
          </w:p>
          <w:p w14:paraId="3CF2D8B6" w14:textId="77777777" w:rsidR="00256580" w:rsidRPr="00106B45" w:rsidRDefault="00256580" w:rsidP="00256580">
            <w:pPr>
              <w:tabs>
                <w:tab w:val="left" w:pos="0"/>
                <w:tab w:val="left" w:pos="1418"/>
              </w:tabs>
              <w:spacing w:before="60"/>
              <w:rPr>
                <w:rFonts w:cs="Arial"/>
                <w:sz w:val="21"/>
                <w:szCs w:val="21"/>
                <w:lang w:val="en-GB"/>
              </w:rPr>
            </w:pPr>
          </w:p>
          <w:p w14:paraId="237D7FFF" w14:textId="77777777" w:rsidR="00256580" w:rsidRPr="00106B45" w:rsidRDefault="00256580" w:rsidP="00256580">
            <w:pPr>
              <w:keepNext/>
              <w:spacing w:before="120" w:after="120"/>
              <w:outlineLvl w:val="0"/>
              <w:rPr>
                <w:rFonts w:cs="Arial"/>
                <w:b/>
                <w:sz w:val="20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All Young Enterprise Staff are expected to model these values at all times</w:t>
            </w:r>
            <w:r w:rsidRPr="00106B45">
              <w:rPr>
                <w:rFonts w:cs="Arial"/>
                <w:sz w:val="20"/>
                <w:lang w:val="en-GB"/>
              </w:rPr>
              <w:t>.</w:t>
            </w:r>
          </w:p>
        </w:tc>
      </w:tr>
    </w:tbl>
    <w:p w14:paraId="0FB78278" w14:textId="77777777" w:rsidR="00E7242E" w:rsidRPr="0046305B" w:rsidRDefault="00E7242E" w:rsidP="00256580"/>
    <w:sectPr w:rsidR="00E7242E" w:rsidRPr="0046305B" w:rsidSect="00256580">
      <w:footerReference w:type="default" r:id="rId11"/>
      <w:pgSz w:w="12240" w:h="15840"/>
      <w:pgMar w:top="851" w:right="1043" w:bottom="568" w:left="1276" w:header="720" w:footer="164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AC5E2" w14:textId="77777777" w:rsidR="003638D3" w:rsidRDefault="003638D3">
      <w:r>
        <w:separator/>
      </w:r>
    </w:p>
  </w:endnote>
  <w:endnote w:type="continuationSeparator" w:id="0">
    <w:p w14:paraId="32BD4B20" w14:textId="77777777" w:rsidR="003638D3" w:rsidRDefault="0036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2D17" w14:textId="37BF8FA6" w:rsidR="00106B45" w:rsidRDefault="00106B45" w:rsidP="00106B45">
    <w:pPr>
      <w:pStyle w:val="Footer"/>
      <w:tabs>
        <w:tab w:val="clear" w:pos="4320"/>
        <w:tab w:val="clear" w:pos="8640"/>
        <w:tab w:val="left" w:pos="4536"/>
        <w:tab w:val="right" w:pos="8505"/>
        <w:tab w:val="left" w:pos="9214"/>
      </w:tabs>
      <w:ind w:left="-284" w:right="-142"/>
      <w:rPr>
        <w:sz w:val="16"/>
      </w:rPr>
    </w:pPr>
    <w:r>
      <w:rPr>
        <w:sz w:val="16"/>
      </w:rPr>
      <w:t>Philanthropy Manager</w:t>
    </w:r>
    <w:r w:rsidR="0066036B">
      <w:rPr>
        <w:sz w:val="16"/>
      </w:rPr>
      <w:t xml:space="preserve"> November 2019</w:t>
    </w:r>
  </w:p>
  <w:p w14:paraId="6D98A12B" w14:textId="77777777" w:rsidR="00106B45" w:rsidRDefault="00106B45" w:rsidP="00106B45">
    <w:pPr>
      <w:pStyle w:val="Footer"/>
      <w:tabs>
        <w:tab w:val="clear" w:pos="4320"/>
        <w:tab w:val="clear" w:pos="8640"/>
        <w:tab w:val="left" w:pos="4536"/>
        <w:tab w:val="right" w:pos="8505"/>
        <w:tab w:val="left" w:pos="9214"/>
      </w:tabs>
      <w:ind w:right="-142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BF686" w14:textId="77777777" w:rsidR="003638D3" w:rsidRDefault="003638D3">
      <w:r>
        <w:separator/>
      </w:r>
    </w:p>
  </w:footnote>
  <w:footnote w:type="continuationSeparator" w:id="0">
    <w:p w14:paraId="74CAEE17" w14:textId="77777777" w:rsidR="003638D3" w:rsidRDefault="0036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0A91"/>
    <w:multiLevelType w:val="hybridMultilevel"/>
    <w:tmpl w:val="FBF2020C"/>
    <w:lvl w:ilvl="0" w:tplc="F828C1CC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373423A6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EC145C6E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53845E40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1ECA9AF0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6ECCF62E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A863418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C3B6CDC6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B1A4618C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43CF2D90"/>
    <w:multiLevelType w:val="hybridMultilevel"/>
    <w:tmpl w:val="D66E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645B"/>
    <w:multiLevelType w:val="hybridMultilevel"/>
    <w:tmpl w:val="845C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52D"/>
    <w:multiLevelType w:val="hybridMultilevel"/>
    <w:tmpl w:val="2EC8FE28"/>
    <w:lvl w:ilvl="0" w:tplc="DFFEC7E8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1" w:tplc="CCDEEAC2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D1C2C12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E46A3486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57CA6EFE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6C1E4660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37AE8E5E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4936F628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262E267C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B"/>
    <w:rsid w:val="000015DA"/>
    <w:rsid w:val="00013773"/>
    <w:rsid w:val="0004153D"/>
    <w:rsid w:val="00061440"/>
    <w:rsid w:val="00073DD1"/>
    <w:rsid w:val="00084B1D"/>
    <w:rsid w:val="00094DD4"/>
    <w:rsid w:val="000B3C90"/>
    <w:rsid w:val="000E2088"/>
    <w:rsid w:val="000E2507"/>
    <w:rsid w:val="000F218E"/>
    <w:rsid w:val="001059F0"/>
    <w:rsid w:val="00106B45"/>
    <w:rsid w:val="0011743E"/>
    <w:rsid w:val="001200BE"/>
    <w:rsid w:val="00134F19"/>
    <w:rsid w:val="00135F17"/>
    <w:rsid w:val="00151F0E"/>
    <w:rsid w:val="0017013D"/>
    <w:rsid w:val="00176889"/>
    <w:rsid w:val="00180879"/>
    <w:rsid w:val="00181284"/>
    <w:rsid w:val="00186B9F"/>
    <w:rsid w:val="00187219"/>
    <w:rsid w:val="00187C37"/>
    <w:rsid w:val="00193147"/>
    <w:rsid w:val="0019398A"/>
    <w:rsid w:val="001C7BBC"/>
    <w:rsid w:val="001E3D45"/>
    <w:rsid w:val="001E6702"/>
    <w:rsid w:val="001F0ACC"/>
    <w:rsid w:val="002039C8"/>
    <w:rsid w:val="00204C55"/>
    <w:rsid w:val="002541CD"/>
    <w:rsid w:val="00256580"/>
    <w:rsid w:val="00274761"/>
    <w:rsid w:val="00287C90"/>
    <w:rsid w:val="002A7661"/>
    <w:rsid w:val="002B0264"/>
    <w:rsid w:val="002D5A50"/>
    <w:rsid w:val="003023E1"/>
    <w:rsid w:val="00307CD9"/>
    <w:rsid w:val="00311175"/>
    <w:rsid w:val="00336B68"/>
    <w:rsid w:val="003520ED"/>
    <w:rsid w:val="00352A5C"/>
    <w:rsid w:val="00354507"/>
    <w:rsid w:val="003638D3"/>
    <w:rsid w:val="003826F5"/>
    <w:rsid w:val="00383F67"/>
    <w:rsid w:val="00385061"/>
    <w:rsid w:val="003B19F8"/>
    <w:rsid w:val="003C6574"/>
    <w:rsid w:val="003E124E"/>
    <w:rsid w:val="00447316"/>
    <w:rsid w:val="0045176E"/>
    <w:rsid w:val="0046305B"/>
    <w:rsid w:val="00475525"/>
    <w:rsid w:val="00481CCF"/>
    <w:rsid w:val="00482438"/>
    <w:rsid w:val="004941F6"/>
    <w:rsid w:val="004A4ECC"/>
    <w:rsid w:val="004B57E7"/>
    <w:rsid w:val="004D447C"/>
    <w:rsid w:val="004E25FD"/>
    <w:rsid w:val="004E39FF"/>
    <w:rsid w:val="00502A36"/>
    <w:rsid w:val="00502F4C"/>
    <w:rsid w:val="00505180"/>
    <w:rsid w:val="0057374D"/>
    <w:rsid w:val="005757BF"/>
    <w:rsid w:val="005930BA"/>
    <w:rsid w:val="005A32E4"/>
    <w:rsid w:val="005A36DA"/>
    <w:rsid w:val="005C0E6B"/>
    <w:rsid w:val="005D1DE1"/>
    <w:rsid w:val="005D55BC"/>
    <w:rsid w:val="005D7637"/>
    <w:rsid w:val="005F4A73"/>
    <w:rsid w:val="00607AD3"/>
    <w:rsid w:val="0061120E"/>
    <w:rsid w:val="00613B61"/>
    <w:rsid w:val="00620FB9"/>
    <w:rsid w:val="00623751"/>
    <w:rsid w:val="00626187"/>
    <w:rsid w:val="00634B89"/>
    <w:rsid w:val="00643F63"/>
    <w:rsid w:val="00651178"/>
    <w:rsid w:val="0066036B"/>
    <w:rsid w:val="00663E79"/>
    <w:rsid w:val="0067123C"/>
    <w:rsid w:val="0067347E"/>
    <w:rsid w:val="00697596"/>
    <w:rsid w:val="006B688D"/>
    <w:rsid w:val="006C2720"/>
    <w:rsid w:val="006D2026"/>
    <w:rsid w:val="006E539D"/>
    <w:rsid w:val="00710347"/>
    <w:rsid w:val="0071427E"/>
    <w:rsid w:val="00720A6B"/>
    <w:rsid w:val="00736D66"/>
    <w:rsid w:val="00746D70"/>
    <w:rsid w:val="007735A6"/>
    <w:rsid w:val="007C773E"/>
    <w:rsid w:val="008027FE"/>
    <w:rsid w:val="00815B7C"/>
    <w:rsid w:val="00821C08"/>
    <w:rsid w:val="00827C31"/>
    <w:rsid w:val="00873F1C"/>
    <w:rsid w:val="008746D5"/>
    <w:rsid w:val="00883DC9"/>
    <w:rsid w:val="008A11B7"/>
    <w:rsid w:val="008A2A7D"/>
    <w:rsid w:val="008A6F89"/>
    <w:rsid w:val="008B49AE"/>
    <w:rsid w:val="008C45C8"/>
    <w:rsid w:val="00910A25"/>
    <w:rsid w:val="009136CD"/>
    <w:rsid w:val="00913F2A"/>
    <w:rsid w:val="00920CFE"/>
    <w:rsid w:val="009339AF"/>
    <w:rsid w:val="00940EE6"/>
    <w:rsid w:val="009525CD"/>
    <w:rsid w:val="0095457A"/>
    <w:rsid w:val="00960097"/>
    <w:rsid w:val="0099528B"/>
    <w:rsid w:val="009B47B6"/>
    <w:rsid w:val="009C133F"/>
    <w:rsid w:val="009D2DA1"/>
    <w:rsid w:val="009F4586"/>
    <w:rsid w:val="00A00FF5"/>
    <w:rsid w:val="00A111EA"/>
    <w:rsid w:val="00A240B7"/>
    <w:rsid w:val="00A27013"/>
    <w:rsid w:val="00A432A1"/>
    <w:rsid w:val="00A534F2"/>
    <w:rsid w:val="00A605DE"/>
    <w:rsid w:val="00A637CF"/>
    <w:rsid w:val="00A70957"/>
    <w:rsid w:val="00A713E9"/>
    <w:rsid w:val="00AA6AC7"/>
    <w:rsid w:val="00AC08E7"/>
    <w:rsid w:val="00AC7AFE"/>
    <w:rsid w:val="00AF3DE1"/>
    <w:rsid w:val="00AF5C2E"/>
    <w:rsid w:val="00B05B9E"/>
    <w:rsid w:val="00B10609"/>
    <w:rsid w:val="00B12FB2"/>
    <w:rsid w:val="00B26D25"/>
    <w:rsid w:val="00B346BD"/>
    <w:rsid w:val="00B539C5"/>
    <w:rsid w:val="00B60662"/>
    <w:rsid w:val="00B67493"/>
    <w:rsid w:val="00B934E6"/>
    <w:rsid w:val="00BA0CF3"/>
    <w:rsid w:val="00BB1E8A"/>
    <w:rsid w:val="00BD2CFE"/>
    <w:rsid w:val="00BE40D9"/>
    <w:rsid w:val="00C03293"/>
    <w:rsid w:val="00C06667"/>
    <w:rsid w:val="00C26B60"/>
    <w:rsid w:val="00C26E2F"/>
    <w:rsid w:val="00C333E3"/>
    <w:rsid w:val="00C542F1"/>
    <w:rsid w:val="00C55B09"/>
    <w:rsid w:val="00C63B18"/>
    <w:rsid w:val="00C84238"/>
    <w:rsid w:val="00CA2267"/>
    <w:rsid w:val="00CD27AF"/>
    <w:rsid w:val="00CE1932"/>
    <w:rsid w:val="00CE42F5"/>
    <w:rsid w:val="00CF2658"/>
    <w:rsid w:val="00D051E8"/>
    <w:rsid w:val="00D2783E"/>
    <w:rsid w:val="00D407BB"/>
    <w:rsid w:val="00D45399"/>
    <w:rsid w:val="00D70A60"/>
    <w:rsid w:val="00D7105D"/>
    <w:rsid w:val="00D838F9"/>
    <w:rsid w:val="00D9358B"/>
    <w:rsid w:val="00DA3953"/>
    <w:rsid w:val="00DC10D4"/>
    <w:rsid w:val="00DF434D"/>
    <w:rsid w:val="00E0128F"/>
    <w:rsid w:val="00E34B5F"/>
    <w:rsid w:val="00E373CF"/>
    <w:rsid w:val="00E60ECF"/>
    <w:rsid w:val="00E7242E"/>
    <w:rsid w:val="00E97C86"/>
    <w:rsid w:val="00EA1003"/>
    <w:rsid w:val="00EA7CCF"/>
    <w:rsid w:val="00EC1F2D"/>
    <w:rsid w:val="00EC4DDC"/>
    <w:rsid w:val="00ED40A0"/>
    <w:rsid w:val="00EE340E"/>
    <w:rsid w:val="00EE346E"/>
    <w:rsid w:val="00F1052F"/>
    <w:rsid w:val="00F33DC4"/>
    <w:rsid w:val="00F34EB2"/>
    <w:rsid w:val="00F63229"/>
    <w:rsid w:val="00F74E1C"/>
    <w:rsid w:val="00F90049"/>
    <w:rsid w:val="00F927AE"/>
    <w:rsid w:val="00FB18E6"/>
    <w:rsid w:val="00FB38EC"/>
    <w:rsid w:val="00FB5400"/>
    <w:rsid w:val="00FD1CC7"/>
    <w:rsid w:val="00FD4BCD"/>
    <w:rsid w:val="15CDF3CA"/>
    <w:rsid w:val="4F8AC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CA127B"/>
  <w15:chartTrackingRefBased/>
  <w15:docId w15:val="{EAD66831-337C-4854-833F-600B77D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">
    <w:name w:val="Body Text"/>
    <w:basedOn w:val="Normal"/>
    <w:pPr>
      <w:spacing w:before="120"/>
      <w:jc w:val="center"/>
    </w:pPr>
    <w:rPr>
      <w:sz w:val="20"/>
      <w:lang w:val="en-GB"/>
    </w:rPr>
  </w:style>
  <w:style w:type="paragraph" w:styleId="BodyText2">
    <w:name w:val="Body Text 2"/>
    <w:basedOn w:val="Normal"/>
    <w:rPr>
      <w:b/>
      <w:sz w:val="20"/>
      <w:lang w:val="en-GB"/>
    </w:rPr>
  </w:style>
  <w:style w:type="paragraph" w:styleId="BalloonText">
    <w:name w:val="Balloon Text"/>
    <w:basedOn w:val="Normal"/>
    <w:link w:val="BalloonTextChar"/>
    <w:rsid w:val="0031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B05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B9E"/>
    <w:rPr>
      <w:sz w:val="20"/>
    </w:rPr>
  </w:style>
  <w:style w:type="character" w:customStyle="1" w:styleId="CommentTextChar">
    <w:name w:val="Comment Text Char"/>
    <w:link w:val="CommentText"/>
    <w:rsid w:val="00B05B9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5B9E"/>
    <w:rPr>
      <w:b/>
      <w:bCs/>
    </w:rPr>
  </w:style>
  <w:style w:type="character" w:customStyle="1" w:styleId="CommentSubjectChar">
    <w:name w:val="Comment Subject Char"/>
    <w:link w:val="CommentSubject"/>
    <w:rsid w:val="00B05B9E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027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C77B7AC83F4459FD8C332C18EBDCA" ma:contentTypeVersion="14" ma:contentTypeDescription="Create a new document." ma:contentTypeScope="" ma:versionID="8d40ee4a75b416e74066a7a0293749e4">
  <xsd:schema xmlns:xsd="http://www.w3.org/2001/XMLSchema" xmlns:xs="http://www.w3.org/2001/XMLSchema" xmlns:p="http://schemas.microsoft.com/office/2006/metadata/properties" xmlns:ns1="http://schemas.microsoft.com/sharepoint/v3" xmlns:ns2="aafdf51d-49db-4f74-9e4d-a89ce24958e5" xmlns:ns3="2abebb83-cf53-4fdf-a500-739cef3c54c9" targetNamespace="http://schemas.microsoft.com/office/2006/metadata/properties" ma:root="true" ma:fieldsID="aaa9832d9381a8b49fe997e961d8850e" ns1:_="" ns2:_="" ns3:_="">
    <xsd:import namespace="http://schemas.microsoft.com/sharepoint/v3"/>
    <xsd:import namespace="aafdf51d-49db-4f74-9e4d-a89ce24958e5"/>
    <xsd:import namespace="2abebb83-cf53-4fdf-a500-739cef3c5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df51d-49db-4f74-9e4d-a89ce249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bb83-cf53-4fdf-a500-739cef3c5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abebb83-cf53-4fdf-a500-739cef3c54c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3BBC29-BEA1-41D2-92E8-96B4F114D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df51d-49db-4f74-9e4d-a89ce24958e5"/>
    <ds:schemaRef ds:uri="2abebb83-cf53-4fdf-a500-739cef3c5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27257-4D41-44A6-BB97-74846727F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08AA4-7D47-4116-80F8-C328DCF1EAF6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2abebb83-cf53-4fdf-a500-739cef3c54c9"/>
    <ds:schemaRef ds:uri="aafdf51d-49db-4f74-9e4d-a89ce2495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2887</Characters>
  <Application>Microsoft Office Word</Application>
  <DocSecurity>4</DocSecurity>
  <Lines>24</Lines>
  <Paragraphs>6</Paragraphs>
  <ScaleCrop>false</ScaleCrop>
  <Company>Clockwork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Steve Anderton</dc:creator>
  <cp:keywords/>
  <cp:lastModifiedBy>Donna Wells</cp:lastModifiedBy>
  <cp:revision>2</cp:revision>
  <cp:lastPrinted>2008-10-28T18:39:00Z</cp:lastPrinted>
  <dcterms:created xsi:type="dcterms:W3CDTF">2021-03-10T10:58:00Z</dcterms:created>
  <dcterms:modified xsi:type="dcterms:W3CDTF">2021-03-10T10:58:00Z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0x010100E22C77B7AC83F4459FD8C332C18EBDCA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